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framePr w:w="0" w:hRule="auto" w:wrap="auto" w:vAnchor="margin" w:hAnchor="text" w:yAlign="inline"/>
        <w:bidi w:val="0"/>
        <w:ind w:left="0" w:right="0" w:firstLine="0"/>
        <w:jc w:val="center"/>
        <w:rPr>
          <w:rFonts w:hint="eastAsia" w:ascii="Hiragino Sans GB W6" w:hAnsi="Hiragino Sans GB W6" w:eastAsia="Hiragino Sans GB W6" w:cs="Hiragino Sans GB W6"/>
          <w:b/>
          <w:bCs/>
          <w:color w:val="333333"/>
          <w:sz w:val="28"/>
          <w:szCs w:val="28"/>
          <w:shd w:val="clear" w:color="auto" w:fill="FFFFFF"/>
          <w:rtl w:val="0"/>
        </w:rPr>
      </w:pPr>
      <w:r>
        <w:rPr>
          <w:rFonts w:hint="eastAsia" w:ascii="Hiragino Sans GB W6" w:hAnsi="Hiragino Sans GB W6" w:eastAsia="Hiragino Sans GB W6" w:cs="Hiragino Sans GB W6"/>
          <w:b/>
          <w:bCs/>
          <w:color w:val="333333"/>
          <w:sz w:val="28"/>
          <w:szCs w:val="28"/>
          <w:shd w:val="clear" w:color="auto" w:fill="FFFFFF"/>
          <w:rtl w:val="0"/>
          <w:lang w:val="zh-CN" w:eastAsia="zh-CN"/>
        </w:rPr>
        <w:t>关于加强新时代高校教师队伍建设改革的指导意见</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4"/>
          <w:szCs w:val="24"/>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一、准确把握高校教师队伍建设改革的时代要求，落实立德树人根本任务</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w:t>
      </w:r>
      <w:r>
        <w:rPr>
          <w:rFonts w:hint="eastAsia" w:eastAsia="冬青黑体简体中文 W3" w:asciiTheme="minorAscii"/>
          <w:color w:val="333333"/>
          <w:sz w:val="21"/>
          <w:szCs w:val="21"/>
          <w:shd w:val="clear" w:color="auto" w:fill="FFFFFF"/>
          <w:rtl w:val="0"/>
          <w:lang w:val="zh-CN" w:eastAsia="zh-CN"/>
        </w:rPr>
        <w:t>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2.</w:t>
      </w:r>
      <w:r>
        <w:rPr>
          <w:rFonts w:hint="eastAsia" w:eastAsia="冬青黑体简体中文 W3" w:asciiTheme="minorAscii"/>
          <w:color w:val="333333"/>
          <w:sz w:val="21"/>
          <w:szCs w:val="21"/>
          <w:shd w:val="clear" w:color="auto" w:fill="FFFFFF"/>
          <w:rtl w:val="0"/>
          <w:lang w:val="zh-CN" w:eastAsia="zh-CN"/>
        </w:rPr>
        <w:t>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二、全面加强党的领导，不断提升教师思想政治素质和师德素养</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3.</w:t>
      </w:r>
      <w:r>
        <w:rPr>
          <w:rFonts w:hint="eastAsia" w:eastAsia="冬青黑体简体中文 W3" w:asciiTheme="minorAscii"/>
          <w:color w:val="333333"/>
          <w:sz w:val="21"/>
          <w:szCs w:val="21"/>
          <w:shd w:val="clear" w:color="auto" w:fill="FFFFFF"/>
          <w:rtl w:val="0"/>
          <w:lang w:val="zh-CN" w:eastAsia="zh-CN"/>
        </w:rPr>
        <w:t>加强思想政治引领。引导广大教师坚持</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四个相统一</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，争做</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rPr>
        <w:t>四有</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好老师，当好</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四个引路人</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，增强</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四个意识</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、坚定</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四个自信</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TW" w:eastAsia="zh-TW"/>
        </w:rPr>
        <w:t>、做到</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两个维护</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育德育人能力。加强民办高校思想政治建设，配齐建强民办高校思想政治工作队伍。</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4.</w:t>
      </w:r>
      <w:r>
        <w:rPr>
          <w:rFonts w:hint="eastAsia" w:eastAsia="冬青黑体简体中文 W3" w:asciiTheme="minorAscii"/>
          <w:color w:val="333333"/>
          <w:sz w:val="21"/>
          <w:szCs w:val="21"/>
          <w:shd w:val="clear" w:color="auto" w:fill="FFFFFF"/>
          <w:rtl w:val="0"/>
          <w:lang w:val="zh-CN" w:eastAsia="zh-CN"/>
        </w:rPr>
        <w:t>培育弘扬高尚师德。常态化推进师德培育涵养，将各类师德规范纳入新教师岗前培训和在职教师全员培训必修内容。创新师德教育方式，通过榜样引领、情景体验、实践教育、师生互动等形式，激发教师涵养师德的内生动力。强化高校教师</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rPr>
        <w:t>四史</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教育，规范学时要求，在一定周期内做到全员全覆盖。建好师德基地，构建师德教育课程体系。加大教师表彰力度，健全教师荣誉制度，高校可举办教师入职、荣休仪式，设立以教书育人为导向的奖励，激励教师潜心育人。鼓励社会组织和个人出资奖励教师。支持地方和高校建立优秀教师库，挖掘典型，强化宣传感召。持续推出主题鲜明、展现教师时代风貌的影视文学作品。</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5.</w:t>
      </w:r>
      <w:r>
        <w:rPr>
          <w:rFonts w:hint="eastAsia" w:eastAsia="冬青黑体简体中文 W3" w:asciiTheme="minorAscii"/>
          <w:color w:val="333333"/>
          <w:sz w:val="21"/>
          <w:szCs w:val="21"/>
          <w:shd w:val="clear" w:color="auto" w:fill="FFFFFF"/>
          <w:rtl w:val="0"/>
          <w:lang w:val="zh-CN" w:eastAsia="zh-CN"/>
        </w:rPr>
        <w:t>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范问题。建立健全师德违规通报曝光机制，起到警示震慑作用。依托政法机关建立的全国性侵违法犯罪信息库等，建立教育行业从业限制制度。</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三、建设高校教师发展平台，着力提升教师专业素质能力</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6.</w:t>
      </w:r>
      <w:r>
        <w:rPr>
          <w:rFonts w:hint="eastAsia" w:eastAsia="冬青黑体简体中文 W3" w:asciiTheme="minorAscii"/>
          <w:color w:val="333333"/>
          <w:sz w:val="21"/>
          <w:szCs w:val="21"/>
          <w:shd w:val="clear" w:color="auto" w:fill="FFFFFF"/>
          <w:rtl w:val="0"/>
          <w:lang w:val="zh-CN" w:eastAsia="zh-CN"/>
        </w:rPr>
        <w:t>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7.</w:t>
      </w:r>
      <w:r>
        <w:rPr>
          <w:rFonts w:hint="eastAsia" w:eastAsia="冬青黑体简体中文 W3" w:asciiTheme="minorAscii"/>
          <w:color w:val="333333"/>
          <w:sz w:val="21"/>
          <w:szCs w:val="21"/>
          <w:shd w:val="clear" w:color="auto" w:fill="FFFFFF"/>
          <w:rtl w:val="0"/>
          <w:lang w:val="zh-CN" w:eastAsia="zh-CN"/>
        </w:rPr>
        <w:t>夯实高校教师发展支持服务体系。统筹教师研修、职业发展咨询、教育教学指导、学术发展、学习资源服务等职责，建实建强教师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四、完善现代高校教师管理制度，激发教师队伍创新活力</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8.</w:t>
      </w:r>
      <w:r>
        <w:rPr>
          <w:rFonts w:hint="eastAsia" w:eastAsia="冬青黑体简体中文 W3" w:asciiTheme="minorAscii"/>
          <w:color w:val="333333"/>
          <w:sz w:val="21"/>
          <w:szCs w:val="21"/>
          <w:shd w:val="clear" w:color="auto" w:fill="FFFFFF"/>
          <w:rtl w:val="0"/>
          <w:lang w:val="zh-CN" w:eastAsia="zh-CN"/>
        </w:rPr>
        <w:t>完善高校教师聘用机制。充分落实高校用人自主权，政府各有关部门不统一组织高校人员聘用考试，简化进人程序。高校根据国家有关规定和办学实际需要，自主制定教师聘用条件，自主公开招聘教师。不得将毕业院校、出国（境）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配齐配优建强高校思政课教师队伍和辅导员队伍。探索将行业企业从业经历、社会实践经历作为聘用职业院校专业课教师的重要条件。研究出台外籍教师聘任和管理办法，规范外籍教师管理。</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9.</w:t>
      </w:r>
      <w:r>
        <w:rPr>
          <w:rFonts w:hint="eastAsia" w:eastAsia="冬青黑体简体中文 W3" w:asciiTheme="minorAscii"/>
          <w:color w:val="333333"/>
          <w:sz w:val="21"/>
          <w:szCs w:val="21"/>
          <w:shd w:val="clear" w:color="auto" w:fill="FFFFFF"/>
          <w:rtl w:val="0"/>
          <w:lang w:val="zh-CN" w:eastAsia="zh-CN"/>
        </w:rPr>
        <w:t>加快高校教师编制岗位管理改革。积极探索实行高校人员总量管理。高校依法采取多元化聘用方式自主灵活用人，统筹用好编制资源，优先保障教学科研需求，向重点学科、特色学科和重要管理岗位倾斜。合理设置教职员岗位结构比例，加强职员队伍建设。深入推进岗位聘用改革，实施岗位聘期制管理，进一步探索准聘与长聘相结合等管理方式，落实和完善能上能下、能进能出的聘用机制。</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10.</w:t>
      </w:r>
      <w:r>
        <w:rPr>
          <w:rFonts w:hint="eastAsia" w:eastAsia="冬青黑体简体中文 W3" w:asciiTheme="minorAscii"/>
          <w:color w:val="333333"/>
          <w:sz w:val="21"/>
          <w:szCs w:val="21"/>
          <w:shd w:val="clear" w:color="auto" w:fill="FFFFFF"/>
          <w:rtl w:val="0"/>
          <w:lang w:val="zh-CN" w:eastAsia="zh-CN"/>
        </w:rPr>
        <w:t>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11.</w:t>
      </w:r>
      <w:r>
        <w:rPr>
          <w:rFonts w:hint="eastAsia" w:eastAsia="冬青黑体简体中文 W3" w:asciiTheme="minorAscii"/>
          <w:color w:val="333333"/>
          <w:sz w:val="21"/>
          <w:szCs w:val="21"/>
          <w:shd w:val="clear" w:color="auto" w:fill="FFFFFF"/>
          <w:rtl w:val="0"/>
          <w:lang w:val="zh-CN" w:eastAsia="zh-CN"/>
        </w:rPr>
        <w:t>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12.</w:t>
      </w:r>
      <w:r>
        <w:rPr>
          <w:rFonts w:hint="eastAsia" w:eastAsia="冬青黑体简体中文 W3" w:asciiTheme="minorAscii"/>
          <w:color w:val="333333"/>
          <w:sz w:val="21"/>
          <w:szCs w:val="21"/>
          <w:shd w:val="clear" w:color="auto" w:fill="FFFFFF"/>
          <w:rtl w:val="0"/>
          <w:lang w:val="zh-CN" w:eastAsia="zh-CN"/>
        </w:rPr>
        <w:t>深化高校教师考核评价制度改革。突出质量导向，注重凭能力、实绩和贡献评价教师，坚决扭转轻教学、轻育人等倾向，克服唯论文、唯帽子、唯职称、唯学历、唯奖项等弊病。规范高等学校</w:t>
      </w:r>
      <w:r>
        <w:rPr>
          <w:rFonts w:hAnsi="冬青黑体简体中文 W3" w:asciiTheme="minorAscii"/>
          <w:color w:val="333333"/>
          <w:sz w:val="21"/>
          <w:szCs w:val="21"/>
          <w:shd w:val="clear" w:color="auto" w:fill="FFFFFF"/>
          <w:rtl w:val="0"/>
          <w:lang w:val="de-DE"/>
        </w:rPr>
        <w:t>SCI</w:t>
      </w:r>
      <w:r>
        <w:rPr>
          <w:rFonts w:hint="eastAsia" w:eastAsia="冬青黑体简体中文 W3" w:asciiTheme="minorAscii"/>
          <w:color w:val="333333"/>
          <w:sz w:val="21"/>
          <w:szCs w:val="21"/>
          <w:shd w:val="clear" w:color="auto" w:fill="FFFFFF"/>
          <w:rtl w:val="0"/>
          <w:lang w:val="zh-CN" w:eastAsia="zh-CN"/>
        </w:rPr>
        <w:t>等论文相关指标使用，避免</w:t>
      </w:r>
      <w:r>
        <w:rPr>
          <w:rFonts w:hAnsi="冬青黑体简体中文 W3" w:asciiTheme="minorAscii"/>
          <w:color w:val="333333"/>
          <w:sz w:val="21"/>
          <w:szCs w:val="21"/>
          <w:shd w:val="clear" w:color="auto" w:fill="FFFFFF"/>
          <w:rtl w:val="0"/>
          <w:lang w:val="de-DE"/>
        </w:rPr>
        <w:t>SCI</w:t>
      </w:r>
      <w:r>
        <w:rPr>
          <w:rFonts w:hint="eastAsia" w:eastAsia="冬青黑体简体中文 W3" w:asciiTheme="minorAscii"/>
          <w:color w:val="333333"/>
          <w:sz w:val="21"/>
          <w:szCs w:val="21"/>
          <w:shd w:val="clear" w:color="auto" w:fill="FFFFFF"/>
          <w:rtl w:val="0"/>
          <w:lang w:val="zh-TW" w:eastAsia="zh-TW"/>
        </w:rPr>
        <w:t>、</w:t>
      </w:r>
      <w:r>
        <w:rPr>
          <w:rFonts w:hAnsi="冬青黑体简体中文 W3" w:asciiTheme="minorAscii"/>
          <w:color w:val="333333"/>
          <w:sz w:val="21"/>
          <w:szCs w:val="21"/>
          <w:shd w:val="clear" w:color="auto" w:fill="FFFFFF"/>
          <w:rtl w:val="0"/>
          <w:lang w:val="de-DE"/>
        </w:rPr>
        <w:t>SSCI</w:t>
      </w:r>
      <w:r>
        <w:rPr>
          <w:rFonts w:hint="eastAsia" w:eastAsia="冬青黑体简体中文 W3" w:asciiTheme="minorAscii"/>
          <w:color w:val="333333"/>
          <w:sz w:val="21"/>
          <w:szCs w:val="21"/>
          <w:shd w:val="clear" w:color="auto" w:fill="FFFFFF"/>
          <w:rtl w:val="0"/>
          <w:lang w:val="zh-TW" w:eastAsia="zh-TW"/>
        </w:rPr>
        <w:t>、</w:t>
      </w:r>
      <w:r>
        <w:rPr>
          <w:rFonts w:hAnsi="冬青黑体简体中文 W3" w:asciiTheme="minorAscii"/>
          <w:color w:val="333333"/>
          <w:sz w:val="21"/>
          <w:szCs w:val="21"/>
          <w:shd w:val="clear" w:color="auto" w:fill="FFFFFF"/>
          <w:rtl w:val="0"/>
        </w:rPr>
        <w:t>A&amp;HCI</w:t>
      </w:r>
      <w:r>
        <w:rPr>
          <w:rFonts w:hint="eastAsia" w:eastAsia="冬青黑体简体中文 W3" w:asciiTheme="minorAscii"/>
          <w:color w:val="333333"/>
          <w:sz w:val="21"/>
          <w:szCs w:val="21"/>
          <w:shd w:val="clear" w:color="auto" w:fill="FFFFFF"/>
          <w:rtl w:val="0"/>
          <w:lang w:val="zh-TW" w:eastAsia="zh-TW"/>
        </w:rPr>
        <w:t>、</w:t>
      </w:r>
      <w:r>
        <w:rPr>
          <w:rFonts w:hAnsi="冬青黑体简体中文 W3" w:asciiTheme="minorAscii"/>
          <w:color w:val="333333"/>
          <w:sz w:val="21"/>
          <w:szCs w:val="21"/>
          <w:shd w:val="clear" w:color="auto" w:fill="FFFFFF"/>
          <w:rtl w:val="0"/>
          <w:lang w:val="de-DE"/>
        </w:rPr>
        <w:t>CSSCI</w:t>
      </w:r>
      <w:r>
        <w:rPr>
          <w:rFonts w:hint="eastAsia" w:eastAsia="冬青黑体简体中文 W3" w:asciiTheme="minorAscii"/>
          <w:color w:val="333333"/>
          <w:sz w:val="21"/>
          <w:szCs w:val="21"/>
          <w:shd w:val="clear" w:color="auto" w:fill="FFFFFF"/>
          <w:rtl w:val="0"/>
          <w:lang w:val="zh-CN" w:eastAsia="zh-CN"/>
        </w:rPr>
        <w:t>等引文数据使用中的绝对化，坚决摒弃</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以刊评文</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，破除论文</w:t>
      </w:r>
      <w:r>
        <w:rPr>
          <w:rFonts w:hint="default" w:hAnsi="冬青黑体简体中文 W3" w:asciiTheme="minorAscii"/>
          <w:color w:val="333333"/>
          <w:sz w:val="21"/>
          <w:szCs w:val="21"/>
          <w:shd w:val="clear" w:color="auto" w:fill="FFFFFF"/>
          <w:rtl/>
          <w:lang w:val="ar-SA" w:bidi="ar-SA"/>
        </w:rPr>
        <w:t>“</w:t>
      </w:r>
      <w:r>
        <w:rPr>
          <w:rFonts w:hAnsi="冬青黑体简体中文 W3" w:asciiTheme="minorAscii"/>
          <w:color w:val="333333"/>
          <w:sz w:val="21"/>
          <w:szCs w:val="21"/>
          <w:shd w:val="clear" w:color="auto" w:fill="FFFFFF"/>
          <w:rtl w:val="0"/>
          <w:lang w:val="de-DE"/>
        </w:rPr>
        <w:t>SCI</w:t>
      </w:r>
      <w:r>
        <w:rPr>
          <w:rFonts w:hint="eastAsia" w:eastAsia="冬青黑体简体中文 W3" w:asciiTheme="minorAscii"/>
          <w:color w:val="333333"/>
          <w:sz w:val="21"/>
          <w:szCs w:val="21"/>
          <w:shd w:val="clear" w:color="auto" w:fill="FFFFFF"/>
          <w:rtl w:val="0"/>
          <w:lang w:val="zh-TW" w:eastAsia="zh-TW"/>
        </w:rPr>
        <w:t>至上</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13.</w:t>
      </w:r>
      <w:r>
        <w:rPr>
          <w:rFonts w:hint="eastAsia" w:eastAsia="冬青黑体简体中文 W3" w:asciiTheme="minorAscii"/>
          <w:color w:val="333333"/>
          <w:sz w:val="21"/>
          <w:szCs w:val="21"/>
          <w:shd w:val="clear" w:color="auto" w:fill="FFFFFF"/>
          <w:rtl w:val="0"/>
          <w:lang w:val="zh-CN" w:eastAsia="zh-CN"/>
        </w:rPr>
        <w:t>建立健全教师兼职和兼职教师管理制度。高校教师在履行校内岗位职责、不影响本职工作的前提下，经学校同意，可在校外兼职从事与本人学科密切相关、并能发挥其专业能力的工作。地方和高校应建立健全教师兼职管理制度，规范教师合理兼职，坚决惩治教师兼职乱象。鼓励高校聘请校外专家学者等担任兼职教师，完善兼职教师管理办法，规范遴选聘用程序，明确兼职教师的标准、责任、权利和工作要求，确保兼职教师具有较高的师德素养、业务能力和育人水平。</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五、切实保障高校教师待遇，吸引稳定一流人才从教</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14.</w:t>
      </w:r>
      <w:r>
        <w:rPr>
          <w:rFonts w:hint="eastAsia" w:eastAsia="冬青黑体简体中文 W3" w:asciiTheme="minorAscii"/>
          <w:color w:val="333333"/>
          <w:sz w:val="21"/>
          <w:szCs w:val="21"/>
          <w:shd w:val="clear" w:color="auto" w:fill="FFFFFF"/>
          <w:rtl w:val="0"/>
          <w:lang w:val="zh-CN" w:eastAsia="zh-CN"/>
        </w:rPr>
        <w:t>推进高校薪酬制度改革。落实以增加知识价值为导向的收入分配政策，扩大高校工资分配自主权，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15.</w:t>
      </w:r>
      <w:r>
        <w:rPr>
          <w:rFonts w:hint="eastAsia" w:eastAsia="冬青黑体简体中文 W3" w:asciiTheme="minorAscii"/>
          <w:color w:val="333333"/>
          <w:sz w:val="21"/>
          <w:szCs w:val="21"/>
          <w:shd w:val="clear" w:color="auto" w:fill="FFFFFF"/>
          <w:rtl w:val="0"/>
          <w:lang w:val="zh-CN" w:eastAsia="zh-CN"/>
        </w:rPr>
        <w:t>完善高校内部收入分配激励机制。落实高校内部分配自主权，高校要结合实际健全内部收入分配机制，完善绩效考核办法，向扎根教学一线、业绩突出的教师倾斜，向承担急难险重任务、作出突出贡献的教师倾斜，向从事基础前沿研究、国防科技等领域的教师倾斜。把参与教研活动，编写教材案例，承担命题监考任务，指导学生毕业设计、就业、创新创业、社会实践、学生社团、竞赛展演等情况计入工作量。激励优秀教师承担继续教育的教学工作，将相关工作量纳入绩效考核体系。不将论文数、专利数、项目数、课题经费等科研量化指标与绩效工资分配、奖励直接挂钩，切实发挥收入分配政策的激励导向作用。</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六、优化完善人才管理服务体系，培养造就一批高层次创新人才</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16.</w:t>
      </w:r>
      <w:r>
        <w:rPr>
          <w:rFonts w:hint="eastAsia" w:eastAsia="冬青黑体简体中文 W3" w:asciiTheme="minorAscii"/>
          <w:color w:val="333333"/>
          <w:sz w:val="21"/>
          <w:szCs w:val="21"/>
          <w:shd w:val="clear" w:color="auto" w:fill="FFFFFF"/>
          <w:rtl w:val="0"/>
          <w:lang w:val="zh-CN" w:eastAsia="zh-CN"/>
        </w:rPr>
        <w:t>优化人才引育体系。强化服务国家战略导向，加强人才体系顶层设计，发挥好国家重大人才工程的引领作用，着力打造高水平创新团队，培养一批具有国际影响力的科学家、学科领军人才和青年学术英才。规范人才引进，严把政治关、师德关，做到</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凡引必审</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加强高校哲学社会科学人才和高端智库建设，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17.</w:t>
      </w:r>
      <w:r>
        <w:rPr>
          <w:rFonts w:hint="eastAsia" w:eastAsia="冬青黑体简体中文 W3" w:asciiTheme="minorAscii"/>
          <w:color w:val="333333"/>
          <w:sz w:val="21"/>
          <w:szCs w:val="21"/>
          <w:shd w:val="clear" w:color="auto" w:fill="FFFFFF"/>
          <w:rtl w:val="0"/>
          <w:lang w:val="zh-CN" w:eastAsia="zh-CN"/>
        </w:rPr>
        <w:t>科学合理使用人才。充分发挥好人才战略资源作用，坚持正确的人才使用导向，分类推进人才评价机制改革，推动各类人才</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rPr>
        <w:t>帽子</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人才称号回归荣誉、回归学术的本质，避免同类人才计划重复支持，以岗择人、按岗定酬，不把人才称号作为承担科研项目、职称评聘、评优评奖、学位点申报的限制性条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七、全力支持青年教师成长，培育高等教育事业生力军</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18.</w:t>
      </w:r>
      <w:r>
        <w:rPr>
          <w:rFonts w:hint="eastAsia" w:eastAsia="冬青黑体简体中文 W3" w:asciiTheme="minorAscii"/>
          <w:color w:val="333333"/>
          <w:sz w:val="21"/>
          <w:szCs w:val="21"/>
          <w:shd w:val="clear" w:color="auto" w:fill="FFFFFF"/>
          <w:rtl w:val="0"/>
          <w:lang w:val="zh-CN" w:eastAsia="zh-CN"/>
        </w:rPr>
        <w:t>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19.</w:t>
      </w:r>
      <w:r>
        <w:rPr>
          <w:rFonts w:hint="eastAsia" w:eastAsia="冬青黑体简体中文 W3" w:asciiTheme="minorAscii"/>
          <w:color w:val="333333"/>
          <w:sz w:val="21"/>
          <w:szCs w:val="21"/>
          <w:shd w:val="clear" w:color="auto" w:fill="FFFFFF"/>
          <w:rtl w:val="0"/>
          <w:lang w:val="zh-CN" w:eastAsia="zh-CN"/>
        </w:rPr>
        <w:t>解决青年教师后顾之忧。地方和高校要加强统筹协调，对符合公租房保障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八、强化工作保障，确保各项政策举措落地见效</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r>
        <w:rPr>
          <w:rFonts w:hAnsi="冬青黑体简体中文 W3" w:asciiTheme="minorAscii"/>
          <w:color w:val="333333"/>
          <w:sz w:val="21"/>
          <w:szCs w:val="21"/>
          <w:shd w:val="clear" w:color="auto" w:fill="FFFFFF"/>
          <w:rtl w:val="0"/>
        </w:rPr>
        <w:t>20.</w:t>
      </w:r>
      <w:r>
        <w:rPr>
          <w:rFonts w:hint="eastAsia" w:eastAsia="冬青黑体简体中文 W3" w:asciiTheme="minorAscii"/>
          <w:color w:val="333333"/>
          <w:sz w:val="21"/>
          <w:szCs w:val="21"/>
          <w:shd w:val="clear" w:color="auto" w:fill="FFFFFF"/>
          <w:rtl w:val="0"/>
          <w:lang w:val="zh-CN" w:eastAsia="zh-CN"/>
        </w:rPr>
        <w:t>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w:t>
      </w:r>
      <w:r>
        <w:rPr>
          <w:rFonts w:hint="default" w:hAnsi="冬青黑体简体中文 W3" w:asciiTheme="minorAscii"/>
          <w:color w:val="333333"/>
          <w:sz w:val="21"/>
          <w:szCs w:val="21"/>
          <w:shd w:val="clear" w:color="auto" w:fill="FFFFFF"/>
          <w:rtl/>
          <w:lang w:val="ar-SA" w:bidi="ar-SA"/>
        </w:rPr>
        <w:t>“</w:t>
      </w:r>
      <w:r>
        <w:rPr>
          <w:rFonts w:hint="eastAsia" w:eastAsia="冬青黑体简体中文 W3" w:asciiTheme="minorAscii"/>
          <w:color w:val="333333"/>
          <w:sz w:val="21"/>
          <w:szCs w:val="21"/>
          <w:shd w:val="clear" w:color="auto" w:fill="FFFFFF"/>
          <w:rtl w:val="0"/>
          <w:lang w:val="zh-CN" w:eastAsia="zh-CN"/>
        </w:rPr>
        <w:t>双一流</w:t>
      </w:r>
      <w:r>
        <w:rPr>
          <w:rFonts w:hint="default" w:hAnsi="冬青黑体简体中文 W3" w:asciiTheme="minorAscii"/>
          <w:color w:val="333333"/>
          <w:sz w:val="21"/>
          <w:szCs w:val="21"/>
          <w:shd w:val="clear" w:color="auto" w:fill="FFFFFF"/>
          <w:rtl w:val="0"/>
        </w:rPr>
        <w:t>”</w:t>
      </w:r>
      <w:r>
        <w:rPr>
          <w:rFonts w:hint="eastAsia" w:eastAsia="冬青黑体简体中文 W3" w:asciiTheme="minorAscii"/>
          <w:color w:val="333333"/>
          <w:sz w:val="21"/>
          <w:szCs w:val="21"/>
          <w:shd w:val="clear" w:color="auto" w:fill="FFFFFF"/>
          <w:rtl w:val="0"/>
          <w:lang w:val="zh-CN" w:eastAsia="zh-CN"/>
        </w:rPr>
        <w:t>建设、教学科研评估范围，作为各级党组织和党员干部工作考核的重要内容。加强优秀教师和工作典型宣传，维护教师合法权益，营造关心支持教师发展的社会环境，形成全社会尊师重教的良好氛围。</w:t>
      </w: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p>
    <w:p>
      <w:pPr>
        <w:pStyle w:val="6"/>
        <w:framePr w:w="0" w:hRule="auto" w:wrap="auto" w:vAnchor="margin" w:hAnchor="text" w:yAlign="inline"/>
        <w:bidi w:val="0"/>
        <w:ind w:left="0" w:right="0" w:firstLine="0"/>
        <w:jc w:val="left"/>
        <w:rPr>
          <w:rFonts w:hAnsi="冬青黑体简体中文 W3" w:eastAsia="冬青黑体简体中文 W3" w:cs="冬青黑体简体中文 W3" w:asciiTheme="minorAscii"/>
          <w:color w:val="333333"/>
          <w:sz w:val="21"/>
          <w:szCs w:val="21"/>
          <w:shd w:val="clear" w:color="auto" w:fill="FFFFFF"/>
          <w:rtl w:val="0"/>
        </w:rPr>
      </w:pPr>
      <w:bookmarkStart w:id="0" w:name="_GoBack"/>
      <w:bookmarkEnd w:id="0"/>
    </w:p>
    <w:p>
      <w:pPr>
        <w:pStyle w:val="6"/>
        <w:framePr w:w="0" w:hRule="auto" w:wrap="auto" w:vAnchor="margin" w:hAnchor="text" w:yAlign="inline"/>
        <w:bidi w:val="0"/>
        <w:ind w:left="0" w:right="0" w:firstLine="0"/>
        <w:jc w:val="right"/>
        <w:rPr>
          <w:rFonts w:hAnsi="冬青黑体简体中文 W3" w:eastAsia="冬青黑体简体中文 W3" w:cs="冬青黑体简体中文 W3" w:asciiTheme="minorAscii"/>
          <w:color w:val="333333"/>
          <w:sz w:val="21"/>
          <w:szCs w:val="21"/>
          <w:shd w:val="clear" w:color="auto" w:fill="FFFFFF"/>
          <w:rtl w:val="0"/>
        </w:rPr>
      </w:pPr>
      <w:r>
        <w:rPr>
          <w:rFonts w:hint="eastAsia" w:eastAsia="冬青黑体简体中文 W3" w:asciiTheme="minorAscii"/>
          <w:color w:val="333333"/>
          <w:sz w:val="21"/>
          <w:szCs w:val="21"/>
          <w:shd w:val="clear" w:color="auto" w:fill="FFFFFF"/>
          <w:rtl w:val="0"/>
          <w:lang w:val="zh-CN" w:eastAsia="zh-CN"/>
        </w:rPr>
        <w:t>教育部 中央组织部 中央宣传部 财政部 人力资源社会保障部 住房和城乡建设部</w:t>
      </w:r>
    </w:p>
    <w:p>
      <w:pPr>
        <w:pStyle w:val="6"/>
        <w:framePr w:w="0" w:hRule="auto" w:wrap="auto" w:vAnchor="margin" w:hAnchor="text" w:yAlign="inline"/>
        <w:bidi w:val="0"/>
        <w:ind w:left="0" w:right="0" w:firstLine="0"/>
        <w:jc w:val="right"/>
        <w:rPr>
          <w:rFonts w:asciiTheme="minorAscii"/>
          <w:sz w:val="21"/>
          <w:szCs w:val="21"/>
          <w:rtl w:val="0"/>
        </w:rPr>
      </w:pPr>
      <w:r>
        <w:rPr>
          <w:rFonts w:hAnsi="冬青黑体简体中文 W3" w:asciiTheme="minorAscii"/>
          <w:color w:val="333333"/>
          <w:sz w:val="21"/>
          <w:szCs w:val="21"/>
          <w:shd w:val="clear" w:color="auto" w:fill="FFFFFF"/>
          <w:rtl w:val="0"/>
        </w:rPr>
        <w:t>2020</w:t>
      </w:r>
      <w:r>
        <w:rPr>
          <w:rFonts w:hint="eastAsia" w:eastAsia="冬青黑体简体中文 W3" w:asciiTheme="minorAscii"/>
          <w:color w:val="333333"/>
          <w:sz w:val="21"/>
          <w:szCs w:val="21"/>
          <w:shd w:val="clear" w:color="auto" w:fill="FFFFFF"/>
          <w:rtl w:val="0"/>
        </w:rPr>
        <w:t>年</w:t>
      </w:r>
      <w:r>
        <w:rPr>
          <w:rFonts w:hAnsi="冬青黑体简体中文 W3" w:asciiTheme="minorAscii"/>
          <w:color w:val="333333"/>
          <w:sz w:val="21"/>
          <w:szCs w:val="21"/>
          <w:shd w:val="clear" w:color="auto" w:fill="FFFFFF"/>
          <w:rtl w:val="0"/>
        </w:rPr>
        <w:t>12</w:t>
      </w:r>
      <w:r>
        <w:rPr>
          <w:rFonts w:hint="eastAsia" w:eastAsia="冬青黑体简体中文 W3" w:asciiTheme="minorAscii"/>
          <w:color w:val="333333"/>
          <w:sz w:val="21"/>
          <w:szCs w:val="21"/>
          <w:shd w:val="clear" w:color="auto" w:fill="FFFFFF"/>
          <w:rtl w:val="0"/>
        </w:rPr>
        <w:t>月</w:t>
      </w:r>
      <w:r>
        <w:rPr>
          <w:rFonts w:hAnsi="冬青黑体简体中文 W3" w:asciiTheme="minorAscii"/>
          <w:color w:val="333333"/>
          <w:sz w:val="21"/>
          <w:szCs w:val="21"/>
          <w:shd w:val="clear" w:color="auto" w:fill="FFFFFF"/>
          <w:rtl w:val="0"/>
        </w:rPr>
        <w:t>24</w:t>
      </w:r>
      <w:r>
        <w:rPr>
          <w:rFonts w:hint="eastAsia" w:eastAsia="冬青黑体简体中文 W3" w:asciiTheme="minorAscii"/>
          <w:color w:val="333333"/>
          <w:sz w:val="21"/>
          <w:szCs w:val="21"/>
          <w:shd w:val="clear" w:color="auto" w:fill="FFFFFF"/>
          <w:rtl w:val="0"/>
        </w:rPr>
        <w:t>日</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ymbol">
    <w:altName w:val="Kingsoft Sign"/>
    <w:panose1 w:val="00000000000000000000"/>
    <w:charset w:val="02"/>
    <w:family w:val="roman"/>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Arial Unicode MS">
    <w:panose1 w:val="020B0604020202020204"/>
    <w:charset w:val="86"/>
    <w:family w:val="roman"/>
    <w:pitch w:val="default"/>
    <w:sig w:usb0="FFFFFFFF" w:usb1="E9FFFFFF" w:usb2="0000003F" w:usb3="00000000" w:csb0="603F01FF" w:csb1="FFFF0000"/>
  </w:font>
  <w:font w:name="Helvetica Neue">
    <w:panose1 w:val="02000503000000020004"/>
    <w:charset w:val="00"/>
    <w:family w:val="roman"/>
    <w:pitch w:val="default"/>
    <w:sig w:usb0="E50002FF" w:usb1="500079DB" w:usb2="00000010" w:usb3="00000000" w:csb0="00000000" w:csb1="00000000"/>
  </w:font>
  <w:font w:name="冬青黑体简体中文 W3">
    <w:panose1 w:val="020B0300000000000000"/>
    <w:charset w:val="86"/>
    <w:family w:val="roman"/>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iragino Sans GB W3">
    <w:panose1 w:val="020B0300000000000000"/>
    <w:charset w:val="86"/>
    <w:family w:val="auto"/>
    <w:pitch w:val="default"/>
    <w:sig w:usb0="A00002BF" w:usb1="1ACF7CFA" w:usb2="00000016" w:usb3="00000000" w:csb0="00060007" w:csb1="00000000"/>
  </w:font>
  <w:font w:name="Hiragino Sans GB W6">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val="1"/>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7A7BE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默认"/>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Office_2.5.0.4070_F1E327BC-269C-435d-A152-05C5408002CA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2021-06-08T11:00:46Z</dcterms:created>
  <dc:creator>Data</dc:creator>
  <cp:lastModifiedBy>ceciliaphang</cp:lastModifiedBy>
  <dcterms:modified xsi:type="dcterms:W3CDTF">2021-06-08T11:02:30Z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